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33" w:rsidRPr="00260233" w:rsidRDefault="00260233" w:rsidP="00260233">
      <w:pPr>
        <w:spacing w:after="0" w:line="240" w:lineRule="auto"/>
        <w:ind w:left="450" w:firstLine="3661"/>
        <w:rPr>
          <w:rFonts w:ascii="Times New Roman" w:eastAsia="Times New Roman" w:hAnsi="Times New Roman"/>
          <w:b/>
          <w:bCs/>
          <w:color w:val="000000"/>
          <w:sz w:val="24"/>
          <w:szCs w:val="24"/>
          <w:lang w:val="uk-UA" w:eastAsia="uk-UA"/>
        </w:rPr>
      </w:pPr>
      <w:bookmarkStart w:id="0" w:name="_GoBack"/>
      <w:bookmarkEnd w:id="0"/>
      <w:r w:rsidRPr="00260233">
        <w:rPr>
          <w:rFonts w:ascii="Times New Roman" w:eastAsia="Times New Roman" w:hAnsi="Times New Roman"/>
          <w:b/>
          <w:bCs/>
          <w:color w:val="000000"/>
          <w:sz w:val="24"/>
          <w:szCs w:val="24"/>
          <w:lang w:val="uk-UA" w:eastAsia="uk-UA"/>
        </w:rPr>
        <w:t>"ЗАТВЕРДЖЕНО"</w:t>
      </w:r>
    </w:p>
    <w:p w:rsidR="00260233" w:rsidRPr="00260233" w:rsidRDefault="00260233" w:rsidP="00260233">
      <w:pPr>
        <w:spacing w:after="0" w:line="240" w:lineRule="auto"/>
        <w:ind w:left="450" w:firstLine="3661"/>
        <w:rPr>
          <w:rFonts w:ascii="Times New Roman" w:eastAsia="Times New Roman" w:hAnsi="Times New Roman"/>
          <w:bCs/>
          <w:color w:val="000000"/>
          <w:sz w:val="24"/>
          <w:szCs w:val="24"/>
          <w:lang w:val="uk-UA" w:eastAsia="uk-UA"/>
        </w:rPr>
      </w:pPr>
      <w:r w:rsidRPr="00260233">
        <w:rPr>
          <w:rFonts w:ascii="Times New Roman" w:eastAsia="Times New Roman" w:hAnsi="Times New Roman"/>
          <w:bCs/>
          <w:color w:val="000000"/>
          <w:sz w:val="24"/>
          <w:szCs w:val="24"/>
          <w:lang w:val="uk-UA" w:eastAsia="uk-UA"/>
        </w:rPr>
        <w:t>Наглядовою радою</w:t>
      </w:r>
    </w:p>
    <w:p w:rsidR="00260233" w:rsidRPr="00260233" w:rsidRDefault="00260233" w:rsidP="00260233">
      <w:pPr>
        <w:spacing w:after="0" w:line="240" w:lineRule="auto"/>
        <w:ind w:left="450" w:firstLine="3661"/>
        <w:rPr>
          <w:rFonts w:ascii="Times New Roman" w:eastAsia="Times New Roman" w:hAnsi="Times New Roman"/>
          <w:bCs/>
          <w:color w:val="000000"/>
          <w:sz w:val="24"/>
          <w:szCs w:val="24"/>
          <w:lang w:val="uk-UA" w:eastAsia="uk-UA"/>
        </w:rPr>
      </w:pPr>
      <w:r w:rsidRPr="00260233">
        <w:rPr>
          <w:rFonts w:ascii="Times New Roman" w:eastAsia="Times New Roman" w:hAnsi="Times New Roman"/>
          <w:bCs/>
          <w:color w:val="000000"/>
          <w:sz w:val="24"/>
          <w:szCs w:val="24"/>
          <w:lang w:val="uk-UA" w:eastAsia="uk-UA"/>
        </w:rPr>
        <w:t>АКЦІОНЕРНОГО ТОВАРИСТВА</w:t>
      </w:r>
    </w:p>
    <w:p w:rsidR="00260233" w:rsidRPr="00260233" w:rsidRDefault="00260233" w:rsidP="00260233">
      <w:pPr>
        <w:spacing w:after="0" w:line="240" w:lineRule="auto"/>
        <w:ind w:left="450" w:firstLine="3661"/>
        <w:rPr>
          <w:rFonts w:ascii="Times New Roman" w:eastAsia="Times New Roman" w:hAnsi="Times New Roman"/>
          <w:bCs/>
          <w:color w:val="000000"/>
          <w:sz w:val="24"/>
          <w:szCs w:val="24"/>
          <w:lang w:val="uk-UA" w:eastAsia="uk-UA"/>
        </w:rPr>
      </w:pPr>
      <w:r w:rsidRPr="00260233">
        <w:rPr>
          <w:rFonts w:ascii="Times New Roman" w:eastAsia="Times New Roman" w:hAnsi="Times New Roman"/>
          <w:bCs/>
          <w:color w:val="000000"/>
          <w:sz w:val="24"/>
          <w:szCs w:val="24"/>
          <w:lang w:val="uk-UA" w:eastAsia="uk-UA"/>
        </w:rPr>
        <w:t>"</w:t>
      </w:r>
      <w:r w:rsidR="005124D5">
        <w:rPr>
          <w:rFonts w:ascii="Times New Roman" w:eastAsia="Times New Roman" w:hAnsi="Times New Roman"/>
          <w:bCs/>
          <w:color w:val="000000"/>
          <w:sz w:val="24"/>
          <w:szCs w:val="24"/>
          <w:lang w:val="uk-UA" w:eastAsia="uk-UA"/>
        </w:rPr>
        <w:t>Марганецький гірничо-збагачувальний комбінат</w:t>
      </w:r>
      <w:r w:rsidRPr="00260233">
        <w:rPr>
          <w:rFonts w:ascii="Times New Roman" w:eastAsia="Times New Roman" w:hAnsi="Times New Roman"/>
          <w:bCs/>
          <w:color w:val="000000"/>
          <w:sz w:val="24"/>
          <w:szCs w:val="24"/>
          <w:lang w:val="uk-UA" w:eastAsia="uk-UA"/>
        </w:rPr>
        <w:t>"</w:t>
      </w:r>
    </w:p>
    <w:p w:rsidR="00260233" w:rsidRPr="00260233" w:rsidRDefault="00260233" w:rsidP="00260233">
      <w:pPr>
        <w:spacing w:after="0" w:line="276" w:lineRule="auto"/>
        <w:ind w:left="450" w:firstLine="3661"/>
        <w:rPr>
          <w:rFonts w:ascii="Times New Roman" w:eastAsia="Times New Roman" w:hAnsi="Times New Roman"/>
          <w:bCs/>
          <w:color w:val="000000"/>
          <w:sz w:val="24"/>
          <w:szCs w:val="24"/>
          <w:lang w:val="uk-UA" w:eastAsia="uk-UA"/>
        </w:rPr>
      </w:pPr>
      <w:r w:rsidRPr="00260233">
        <w:rPr>
          <w:rFonts w:ascii="Times New Roman" w:eastAsia="Times New Roman" w:hAnsi="Times New Roman"/>
          <w:bCs/>
          <w:color w:val="000000"/>
          <w:sz w:val="24"/>
          <w:szCs w:val="24"/>
          <w:lang w:val="uk-UA" w:eastAsia="uk-UA"/>
        </w:rPr>
        <w:t xml:space="preserve">Протокол від </w:t>
      </w:r>
      <w:r w:rsidR="00E819A8">
        <w:rPr>
          <w:rFonts w:ascii="Times New Roman" w:eastAsia="Times New Roman" w:hAnsi="Times New Roman"/>
          <w:bCs/>
          <w:color w:val="000000"/>
          <w:sz w:val="24"/>
          <w:szCs w:val="24"/>
          <w:lang w:val="uk-UA" w:eastAsia="uk-UA"/>
        </w:rPr>
        <w:t xml:space="preserve"> </w:t>
      </w:r>
      <w:r w:rsidRPr="00260233">
        <w:rPr>
          <w:rFonts w:ascii="Times New Roman" w:eastAsia="Times New Roman" w:hAnsi="Times New Roman"/>
          <w:bCs/>
          <w:color w:val="000000"/>
          <w:sz w:val="24"/>
          <w:szCs w:val="24"/>
          <w:lang w:val="uk-UA" w:eastAsia="uk-UA"/>
        </w:rPr>
        <w:t>"</w:t>
      </w:r>
      <w:r w:rsidR="00E819A8">
        <w:rPr>
          <w:rFonts w:ascii="Times New Roman" w:eastAsia="Times New Roman" w:hAnsi="Times New Roman"/>
          <w:bCs/>
          <w:color w:val="000000"/>
          <w:sz w:val="24"/>
          <w:szCs w:val="24"/>
          <w:lang w:val="en-US" w:eastAsia="uk-UA"/>
        </w:rPr>
        <w:t>24</w:t>
      </w:r>
      <w:r w:rsidRPr="00260233">
        <w:rPr>
          <w:rFonts w:ascii="Times New Roman" w:eastAsia="Times New Roman" w:hAnsi="Times New Roman"/>
          <w:bCs/>
          <w:color w:val="000000"/>
          <w:sz w:val="24"/>
          <w:szCs w:val="24"/>
          <w:lang w:val="uk-UA" w:eastAsia="uk-UA"/>
        </w:rPr>
        <w:t xml:space="preserve">" </w:t>
      </w:r>
      <w:r w:rsidR="00E819A8">
        <w:rPr>
          <w:rFonts w:ascii="Times New Roman" w:eastAsia="Times New Roman" w:hAnsi="Times New Roman"/>
          <w:bCs/>
          <w:color w:val="000000"/>
          <w:sz w:val="24"/>
          <w:szCs w:val="24"/>
          <w:lang w:val="en-US" w:eastAsia="uk-UA"/>
        </w:rPr>
        <w:t xml:space="preserve"> липня </w:t>
      </w:r>
      <w:r w:rsidRPr="00260233">
        <w:rPr>
          <w:rFonts w:ascii="Times New Roman" w:eastAsia="Times New Roman" w:hAnsi="Times New Roman"/>
          <w:bCs/>
          <w:color w:val="000000"/>
          <w:sz w:val="24"/>
          <w:szCs w:val="24"/>
          <w:lang w:val="uk-UA" w:eastAsia="uk-UA"/>
        </w:rPr>
        <w:t xml:space="preserve"> 2019 року</w:t>
      </w:r>
    </w:p>
    <w:p w:rsidR="00260233" w:rsidRPr="00260233" w:rsidRDefault="00260233" w:rsidP="00260233">
      <w:pPr>
        <w:spacing w:after="0" w:line="276" w:lineRule="auto"/>
        <w:ind w:left="450" w:right="450" w:firstLine="3661"/>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right="450"/>
        <w:jc w:val="center"/>
        <w:rPr>
          <w:rFonts w:ascii="Times New Roman" w:eastAsia="Times New Roman" w:hAnsi="Times New Roman"/>
          <w:b/>
          <w:bCs/>
          <w:color w:val="000000"/>
          <w:sz w:val="36"/>
          <w:szCs w:val="36"/>
          <w:lang w:val="uk-UA" w:eastAsia="uk-UA"/>
        </w:rPr>
      </w:pPr>
      <w:r w:rsidRPr="00260233">
        <w:rPr>
          <w:rFonts w:ascii="Times New Roman" w:eastAsia="Times New Roman" w:hAnsi="Times New Roman"/>
          <w:b/>
          <w:bCs/>
          <w:color w:val="000000"/>
          <w:sz w:val="36"/>
          <w:szCs w:val="36"/>
          <w:lang w:val="uk-UA" w:eastAsia="uk-UA"/>
        </w:rPr>
        <w:t>ПОЛОЖЕННЯ</w:t>
      </w:r>
    </w:p>
    <w:p w:rsidR="00260233" w:rsidRPr="00260233" w:rsidRDefault="00260233" w:rsidP="00260233">
      <w:pPr>
        <w:spacing w:after="0" w:line="240" w:lineRule="auto"/>
        <w:ind w:right="450"/>
        <w:jc w:val="center"/>
        <w:rPr>
          <w:rFonts w:ascii="Times New Roman" w:eastAsia="Times New Roman" w:hAnsi="Times New Roman"/>
          <w:b/>
          <w:bCs/>
          <w:color w:val="000000"/>
          <w:sz w:val="36"/>
          <w:szCs w:val="36"/>
          <w:lang w:val="uk-UA" w:eastAsia="uk-UA"/>
        </w:rPr>
      </w:pPr>
      <w:r w:rsidRPr="00260233">
        <w:rPr>
          <w:rFonts w:ascii="Times New Roman" w:eastAsia="Times New Roman" w:hAnsi="Times New Roman"/>
          <w:b/>
          <w:bCs/>
          <w:color w:val="000000"/>
          <w:sz w:val="36"/>
          <w:szCs w:val="36"/>
          <w:lang w:val="uk-UA" w:eastAsia="uk-UA"/>
        </w:rPr>
        <w:t>"ПРО АУДИТОРСЬКИЙ КОМІТЕТ"</w:t>
      </w:r>
    </w:p>
    <w:p w:rsidR="00260233" w:rsidRPr="00260233" w:rsidRDefault="00260233" w:rsidP="00260233">
      <w:pPr>
        <w:spacing w:after="0" w:line="240" w:lineRule="auto"/>
        <w:ind w:left="450" w:firstLine="3945"/>
        <w:jc w:val="center"/>
        <w:rPr>
          <w:rFonts w:ascii="Times New Roman" w:eastAsia="Times New Roman" w:hAnsi="Times New Roman"/>
          <w:bCs/>
          <w:color w:val="000000"/>
          <w:sz w:val="36"/>
          <w:szCs w:val="36"/>
          <w:lang w:val="uk-UA" w:eastAsia="uk-UA"/>
        </w:rPr>
      </w:pPr>
    </w:p>
    <w:p w:rsidR="00260233" w:rsidRPr="00260233" w:rsidRDefault="00260233" w:rsidP="00260233">
      <w:pPr>
        <w:spacing w:after="0" w:line="240" w:lineRule="auto"/>
        <w:jc w:val="center"/>
        <w:rPr>
          <w:rFonts w:ascii="Times New Roman" w:eastAsia="Times New Roman" w:hAnsi="Times New Roman"/>
          <w:b/>
          <w:bCs/>
          <w:color w:val="000000"/>
          <w:sz w:val="36"/>
          <w:szCs w:val="36"/>
          <w:lang w:val="uk-UA" w:eastAsia="uk-UA"/>
        </w:rPr>
      </w:pPr>
      <w:r w:rsidRPr="00260233">
        <w:rPr>
          <w:rFonts w:ascii="Times New Roman" w:eastAsia="Times New Roman" w:hAnsi="Times New Roman"/>
          <w:b/>
          <w:bCs/>
          <w:color w:val="000000"/>
          <w:sz w:val="36"/>
          <w:szCs w:val="36"/>
          <w:lang w:val="uk-UA" w:eastAsia="uk-UA"/>
        </w:rPr>
        <w:t>АКЦІОНЕРНОГО ТОВАРИСТВА</w:t>
      </w:r>
    </w:p>
    <w:p w:rsidR="00260233" w:rsidRPr="00260233" w:rsidRDefault="00260233" w:rsidP="00260233">
      <w:pPr>
        <w:spacing w:after="0" w:line="240" w:lineRule="auto"/>
        <w:jc w:val="center"/>
        <w:rPr>
          <w:rFonts w:ascii="Times New Roman" w:eastAsia="Times New Roman" w:hAnsi="Times New Roman"/>
          <w:b/>
          <w:bCs/>
          <w:color w:val="000000"/>
          <w:sz w:val="36"/>
          <w:szCs w:val="36"/>
          <w:lang w:val="uk-UA" w:eastAsia="uk-UA"/>
        </w:rPr>
      </w:pPr>
      <w:r w:rsidRPr="00260233">
        <w:rPr>
          <w:rFonts w:ascii="Times New Roman" w:eastAsia="Times New Roman" w:hAnsi="Times New Roman"/>
          <w:b/>
          <w:bCs/>
          <w:color w:val="000000"/>
          <w:sz w:val="36"/>
          <w:szCs w:val="36"/>
          <w:lang w:val="uk-UA" w:eastAsia="uk-UA"/>
        </w:rPr>
        <w:t>"</w:t>
      </w:r>
      <w:r w:rsidR="005124D5">
        <w:rPr>
          <w:rFonts w:ascii="Times New Roman" w:eastAsia="Times New Roman" w:hAnsi="Times New Roman"/>
          <w:b/>
          <w:bCs/>
          <w:color w:val="000000"/>
          <w:sz w:val="36"/>
          <w:szCs w:val="36"/>
          <w:lang w:val="uk-UA" w:eastAsia="uk-UA"/>
        </w:rPr>
        <w:t>Марганецький гірничо-збагачувальний комбінат</w:t>
      </w:r>
      <w:r w:rsidRPr="00260233">
        <w:rPr>
          <w:rFonts w:ascii="Times New Roman" w:eastAsia="Times New Roman" w:hAnsi="Times New Roman"/>
          <w:b/>
          <w:bCs/>
          <w:color w:val="000000"/>
          <w:sz w:val="36"/>
          <w:szCs w:val="36"/>
          <w:lang w:val="uk-UA" w:eastAsia="uk-UA"/>
        </w:rPr>
        <w:t>"</w:t>
      </w:r>
    </w:p>
    <w:p w:rsidR="00260233" w:rsidRPr="00260233" w:rsidRDefault="00260233" w:rsidP="00260233">
      <w:pPr>
        <w:spacing w:after="0" w:line="240" w:lineRule="auto"/>
        <w:ind w:left="450" w:right="450"/>
        <w:jc w:val="center"/>
        <w:rPr>
          <w:rFonts w:ascii="Times New Roman" w:eastAsia="Times New Roman" w:hAnsi="Times New Roman"/>
          <w:b/>
          <w:bCs/>
          <w:color w:val="000000"/>
          <w:sz w:val="36"/>
          <w:szCs w:val="36"/>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right="450"/>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r w:rsidRPr="00260233">
        <w:rPr>
          <w:rFonts w:ascii="Times New Roman" w:eastAsia="Times New Roman" w:hAnsi="Times New Roman"/>
          <w:b/>
          <w:bCs/>
          <w:color w:val="000000"/>
          <w:sz w:val="24"/>
          <w:szCs w:val="24"/>
          <w:lang w:val="uk-UA" w:eastAsia="uk-UA"/>
        </w:rPr>
        <w:t xml:space="preserve">м. </w:t>
      </w:r>
      <w:r w:rsidR="005124D5">
        <w:rPr>
          <w:rFonts w:ascii="Times New Roman" w:eastAsia="Times New Roman" w:hAnsi="Times New Roman"/>
          <w:b/>
          <w:bCs/>
          <w:color w:val="000000"/>
          <w:sz w:val="24"/>
          <w:szCs w:val="24"/>
          <w:lang w:val="uk-UA" w:eastAsia="uk-UA"/>
        </w:rPr>
        <w:t>Марганець</w:t>
      </w:r>
    </w:p>
    <w:p w:rsidR="00260233" w:rsidRPr="00260233" w:rsidRDefault="00260233" w:rsidP="00260233">
      <w:pPr>
        <w:spacing w:after="0" w:line="240" w:lineRule="auto"/>
        <w:ind w:left="450" w:right="450"/>
        <w:jc w:val="center"/>
        <w:rPr>
          <w:rFonts w:ascii="Times New Roman" w:eastAsia="Times New Roman" w:hAnsi="Times New Roman"/>
          <w:b/>
          <w:bCs/>
          <w:color w:val="000000"/>
          <w:sz w:val="24"/>
          <w:szCs w:val="24"/>
          <w:lang w:val="uk-UA" w:eastAsia="uk-UA"/>
        </w:rPr>
      </w:pPr>
      <w:r w:rsidRPr="00260233">
        <w:rPr>
          <w:rFonts w:ascii="Times New Roman" w:eastAsia="Times New Roman" w:hAnsi="Times New Roman"/>
          <w:b/>
          <w:bCs/>
          <w:color w:val="000000"/>
          <w:sz w:val="24"/>
          <w:szCs w:val="24"/>
          <w:lang w:val="uk-UA" w:eastAsia="uk-UA"/>
        </w:rPr>
        <w:t xml:space="preserve">2019 рік </w:t>
      </w:r>
    </w:p>
    <w:p w:rsidR="00260233" w:rsidRPr="00260233" w:rsidRDefault="00260233" w:rsidP="00601B27">
      <w:pPr>
        <w:spacing w:after="0" w:line="240" w:lineRule="auto"/>
        <w:jc w:val="center"/>
        <w:rPr>
          <w:rFonts w:ascii="Times New Roman" w:hAnsi="Times New Roman" w:cs="Times New Roman"/>
          <w:b/>
          <w:color w:val="000000"/>
          <w:sz w:val="24"/>
          <w:szCs w:val="24"/>
          <w:shd w:val="clear" w:color="auto" w:fill="FFFFFF"/>
          <w:lang w:val="uk-UA"/>
        </w:rPr>
      </w:pPr>
    </w:p>
    <w:p w:rsidR="00177A5F" w:rsidRPr="00177A5F" w:rsidRDefault="00177A5F" w:rsidP="00177A5F">
      <w:pPr>
        <w:pStyle w:val="a4"/>
        <w:numPr>
          <w:ilvl w:val="0"/>
          <w:numId w:val="5"/>
        </w:numPr>
        <w:shd w:val="clear" w:color="auto" w:fill="FFFFFF"/>
        <w:spacing w:before="0" w:beforeAutospacing="0" w:after="0" w:afterAutospacing="0"/>
        <w:ind w:left="927"/>
        <w:jc w:val="center"/>
        <w:textAlignment w:val="baseline"/>
        <w:rPr>
          <w:b/>
          <w:bCs/>
          <w:color w:val="000000"/>
        </w:rPr>
      </w:pPr>
      <w:r w:rsidRPr="00177A5F">
        <w:rPr>
          <w:b/>
          <w:bCs/>
          <w:color w:val="000000"/>
          <w:shd w:val="clear" w:color="auto" w:fill="FFFFFF"/>
        </w:rPr>
        <w:lastRenderedPageBreak/>
        <w:t>ЗАГАЛЬНІ ПОЛОЖЕННЯ</w:t>
      </w:r>
    </w:p>
    <w:p w:rsidR="00177A5F" w:rsidRPr="00177A5F" w:rsidRDefault="00177A5F" w:rsidP="00177A5F">
      <w:pPr>
        <w:spacing w:after="0" w:line="240" w:lineRule="auto"/>
        <w:rPr>
          <w:rFonts w:ascii="Times New Roman" w:eastAsia="Times New Roman" w:hAnsi="Times New Roman" w:cs="Times New Roman"/>
          <w:sz w:val="24"/>
          <w:szCs w:val="24"/>
          <w:lang w:eastAsia="ru-RU"/>
        </w:rPr>
      </w:pPr>
    </w:p>
    <w:p w:rsidR="00177A5F" w:rsidRPr="00177A5F" w:rsidRDefault="00177A5F" w:rsidP="00177A5F">
      <w:pPr>
        <w:numPr>
          <w:ilvl w:val="1"/>
          <w:numId w:val="6"/>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 Аудиторський комітет АКЦІОНЕРНОГО ТОВАРИСТВА «</w:t>
      </w:r>
      <w:r>
        <w:rPr>
          <w:rFonts w:ascii="Times New Roman" w:eastAsia="Times New Roman" w:hAnsi="Times New Roman" w:cs="Times New Roman"/>
          <w:color w:val="000000"/>
          <w:sz w:val="24"/>
          <w:szCs w:val="24"/>
          <w:shd w:val="clear" w:color="auto" w:fill="FFFFFF"/>
          <w:lang w:val="uk-UA" w:eastAsia="ru-RU"/>
        </w:rPr>
        <w:t>М</w:t>
      </w:r>
      <w:r w:rsidR="00C45806">
        <w:rPr>
          <w:rFonts w:ascii="Times New Roman" w:eastAsia="Times New Roman" w:hAnsi="Times New Roman" w:cs="Times New Roman"/>
          <w:color w:val="000000"/>
          <w:sz w:val="24"/>
          <w:szCs w:val="24"/>
          <w:shd w:val="clear" w:color="auto" w:fill="FFFFFF"/>
          <w:lang w:val="en-US" w:eastAsia="ru-RU"/>
        </w:rPr>
        <w:t>арганецький г</w:t>
      </w:r>
      <w:r w:rsidR="00C45806">
        <w:rPr>
          <w:rFonts w:ascii="Times New Roman" w:eastAsia="Times New Roman" w:hAnsi="Times New Roman" w:cs="Times New Roman"/>
          <w:color w:val="000000"/>
          <w:sz w:val="24"/>
          <w:szCs w:val="24"/>
          <w:shd w:val="clear" w:color="auto" w:fill="FFFFFF"/>
          <w:lang w:val="uk-UA" w:eastAsia="ru-RU"/>
        </w:rPr>
        <w:t>і</w:t>
      </w:r>
      <w:r w:rsidR="00C45806">
        <w:rPr>
          <w:rFonts w:ascii="Times New Roman" w:eastAsia="Times New Roman" w:hAnsi="Times New Roman" w:cs="Times New Roman"/>
          <w:color w:val="000000"/>
          <w:sz w:val="24"/>
          <w:szCs w:val="24"/>
          <w:shd w:val="clear" w:color="auto" w:fill="FFFFFF"/>
          <w:lang w:val="en-US" w:eastAsia="ru-RU"/>
        </w:rPr>
        <w:t>рничо-збагачувальний комб</w:t>
      </w:r>
      <w:r w:rsidR="00C45806">
        <w:rPr>
          <w:rFonts w:ascii="Times New Roman" w:eastAsia="Times New Roman" w:hAnsi="Times New Roman" w:cs="Times New Roman"/>
          <w:color w:val="000000"/>
          <w:sz w:val="24"/>
          <w:szCs w:val="24"/>
          <w:shd w:val="clear" w:color="auto" w:fill="FFFFFF"/>
          <w:lang w:val="uk-UA" w:eastAsia="ru-RU"/>
        </w:rPr>
        <w:t>і</w:t>
      </w:r>
      <w:r w:rsidR="00C45806">
        <w:rPr>
          <w:rFonts w:ascii="Times New Roman" w:eastAsia="Times New Roman" w:hAnsi="Times New Roman" w:cs="Times New Roman"/>
          <w:color w:val="000000"/>
          <w:sz w:val="24"/>
          <w:szCs w:val="24"/>
          <w:shd w:val="clear" w:color="auto" w:fill="FFFFFF"/>
          <w:lang w:val="en-US" w:eastAsia="ru-RU"/>
        </w:rPr>
        <w:t>нат</w:t>
      </w:r>
      <w:r w:rsidRPr="00177A5F">
        <w:rPr>
          <w:rFonts w:ascii="Times New Roman" w:eastAsia="Times New Roman" w:hAnsi="Times New Roman" w:cs="Times New Roman"/>
          <w:color w:val="000000"/>
          <w:sz w:val="24"/>
          <w:szCs w:val="24"/>
          <w:shd w:val="clear" w:color="auto" w:fill="FFFFFF"/>
          <w:lang w:eastAsia="ru-RU"/>
        </w:rPr>
        <w:t>» (далі – Товариство) є постійно діючим консультативним робочим органом Товариства, створеним з метою організації роботи з суб’єктами аудиторської діяльності.</w:t>
      </w:r>
    </w:p>
    <w:p w:rsidR="00177A5F" w:rsidRPr="00177A5F" w:rsidRDefault="00177A5F" w:rsidP="00177A5F">
      <w:pPr>
        <w:numPr>
          <w:ilvl w:val="1"/>
          <w:numId w:val="6"/>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 Аудиторський комітет складається з 3 (трьох) членів (в тому числі Голова Аудиторського комітету). Голова та члени Аудиторського комітету обираються Наглядовою радою за поданням виконавчого органу Товариства. </w:t>
      </w:r>
    </w:p>
    <w:p w:rsidR="00177A5F" w:rsidRPr="00177A5F" w:rsidRDefault="00177A5F" w:rsidP="00177A5F">
      <w:pPr>
        <w:numPr>
          <w:ilvl w:val="1"/>
          <w:numId w:val="6"/>
        </w:numPr>
        <w:shd w:val="clear" w:color="auto" w:fill="FFFFFF"/>
        <w:spacing w:after="0" w:line="240" w:lineRule="auto"/>
        <w:ind w:left="927"/>
        <w:jc w:val="both"/>
        <w:textAlignment w:val="baseline"/>
        <w:rPr>
          <w:rFonts w:ascii="Times New Roman" w:eastAsia="Times New Roman" w:hAnsi="Times New Roman" w:cs="Times New Roman"/>
          <w:color w:val="000000"/>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Виконавчий орган Товариства здійснює забезпечення Аудиторського комітету усім необхідним для належного функціонування та виконання своїх функцій, прав та обов’язків. Порядок та умови оплати праці членів Аудиторського комітету визначає виконавчий орган Товариства. </w:t>
      </w:r>
    </w:p>
    <w:p w:rsidR="00177A5F" w:rsidRPr="00177A5F" w:rsidRDefault="00177A5F" w:rsidP="00177A5F">
      <w:pPr>
        <w:numPr>
          <w:ilvl w:val="1"/>
          <w:numId w:val="7"/>
        </w:numPr>
        <w:shd w:val="clear" w:color="auto" w:fill="FFFFFF"/>
        <w:spacing w:after="0" w:line="240" w:lineRule="auto"/>
        <w:ind w:left="927" w:hanging="360"/>
        <w:jc w:val="both"/>
        <w:textAlignment w:val="baseline"/>
        <w:rPr>
          <w:rFonts w:ascii="Times New Roman" w:eastAsia="Times New Roman" w:hAnsi="Times New Roman" w:cs="Times New Roman"/>
          <w:color w:val="000000"/>
          <w:sz w:val="24"/>
          <w:szCs w:val="24"/>
          <w:lang w:eastAsia="ru-RU"/>
        </w:rPr>
      </w:pPr>
      <w:r w:rsidRPr="00177A5F">
        <w:rPr>
          <w:rFonts w:ascii="Times New Roman" w:eastAsia="Times New Roman" w:hAnsi="Times New Roman" w:cs="Times New Roman"/>
          <w:color w:val="000000"/>
          <w:sz w:val="24"/>
          <w:szCs w:val="24"/>
          <w:lang w:eastAsia="ru-RU"/>
        </w:rPr>
        <w:t>Більшість членів Аудиторського комітету Товариства не повинні бути пов’язані з Товариством. З числа незалежних членів призначається Голова Аудиторського комітету. Незалежними членами Аудиторського комітету вважаються ті члени, які не пов'язані з Товариством. Пов'язаність членів Аудиторського комітету з Товариством, у цьому положенні, розуміється відповідно до Податкового кодексу України, згідно якого пов’язаними особами є юридичні та фізичні особи, відносини між якими можуть впливати на умови або економічні результати їх діяльності чи діяльності осіб, яких вони представляють, з урахуванням таких критеріїв:</w:t>
      </w:r>
    </w:p>
    <w:p w:rsidR="00177A5F" w:rsidRPr="00177A5F" w:rsidRDefault="00177A5F" w:rsidP="00177A5F">
      <w:pPr>
        <w:numPr>
          <w:ilvl w:val="0"/>
          <w:numId w:val="8"/>
        </w:numPr>
        <w:shd w:val="clear" w:color="auto" w:fill="FFFFFF"/>
        <w:spacing w:after="0" w:line="240" w:lineRule="auto"/>
        <w:ind w:left="927"/>
        <w:jc w:val="both"/>
        <w:textAlignment w:val="baseline"/>
        <w:rPr>
          <w:rFonts w:ascii="Arial" w:eastAsia="Times New Roman" w:hAnsi="Arial" w:cs="Arial"/>
          <w:color w:val="000000"/>
          <w:sz w:val="24"/>
          <w:szCs w:val="24"/>
          <w:lang w:eastAsia="ru-RU"/>
        </w:rPr>
      </w:pPr>
      <w:r w:rsidRPr="00177A5F">
        <w:rPr>
          <w:rFonts w:ascii="Times New Roman" w:eastAsia="Times New Roman" w:hAnsi="Times New Roman" w:cs="Times New Roman"/>
          <w:color w:val="000000"/>
          <w:sz w:val="24"/>
          <w:szCs w:val="24"/>
          <w:lang w:eastAsia="ru-RU"/>
        </w:rPr>
        <w:t>фізична особа безпосередньо та/або опосередковано (через пов’язаних осіб) володіє корпоративними правами Товариства у розмірі 20 і більше відсотків;</w:t>
      </w:r>
    </w:p>
    <w:p w:rsidR="00177A5F" w:rsidRPr="00177A5F" w:rsidRDefault="00177A5F" w:rsidP="00177A5F">
      <w:pPr>
        <w:numPr>
          <w:ilvl w:val="0"/>
          <w:numId w:val="8"/>
        </w:numPr>
        <w:shd w:val="clear" w:color="auto" w:fill="FFFFFF"/>
        <w:spacing w:after="0" w:line="240" w:lineRule="auto"/>
        <w:ind w:left="927"/>
        <w:jc w:val="both"/>
        <w:textAlignment w:val="baseline"/>
        <w:rPr>
          <w:rFonts w:ascii="Arial" w:eastAsia="Times New Roman" w:hAnsi="Arial" w:cs="Arial"/>
          <w:color w:val="000000"/>
          <w:sz w:val="24"/>
          <w:szCs w:val="24"/>
          <w:lang w:eastAsia="ru-RU"/>
        </w:rPr>
      </w:pPr>
      <w:r w:rsidRPr="00177A5F">
        <w:rPr>
          <w:rFonts w:ascii="Times New Roman" w:eastAsia="Times New Roman" w:hAnsi="Times New Roman" w:cs="Times New Roman"/>
          <w:color w:val="000000"/>
          <w:sz w:val="24"/>
          <w:szCs w:val="24"/>
          <w:lang w:eastAsia="ru-RU"/>
        </w:rPr>
        <w:t>фізична особа має право призначати (обирати) одноособовий виконавчий орган Товариства або призначати (обирати) не менш як 50 відсотків складу колегіального виконавчого органу або Наглядової ради Товариства;</w:t>
      </w:r>
    </w:p>
    <w:p w:rsidR="00177A5F" w:rsidRPr="00177A5F" w:rsidRDefault="00177A5F" w:rsidP="00177A5F">
      <w:pPr>
        <w:numPr>
          <w:ilvl w:val="0"/>
          <w:numId w:val="8"/>
        </w:numPr>
        <w:shd w:val="clear" w:color="auto" w:fill="FFFFFF"/>
        <w:spacing w:after="0" w:line="240" w:lineRule="auto"/>
        <w:ind w:left="927"/>
        <w:jc w:val="both"/>
        <w:textAlignment w:val="baseline"/>
        <w:rPr>
          <w:rFonts w:ascii="Arial" w:eastAsia="Times New Roman" w:hAnsi="Arial" w:cs="Arial"/>
          <w:color w:val="000000"/>
          <w:sz w:val="24"/>
          <w:szCs w:val="24"/>
          <w:lang w:eastAsia="ru-RU"/>
        </w:rPr>
      </w:pPr>
      <w:r w:rsidRPr="00177A5F">
        <w:rPr>
          <w:rFonts w:ascii="Times New Roman" w:eastAsia="Times New Roman" w:hAnsi="Times New Roman" w:cs="Times New Roman"/>
          <w:color w:val="000000"/>
          <w:sz w:val="24"/>
          <w:szCs w:val="24"/>
          <w:lang w:eastAsia="ru-RU"/>
        </w:rPr>
        <w:t>фізична особа здійснює повноваження одноособового виконавчого органу в Товаристві;</w:t>
      </w:r>
    </w:p>
    <w:p w:rsidR="00177A5F" w:rsidRPr="00177A5F" w:rsidRDefault="00177A5F" w:rsidP="00177A5F">
      <w:pPr>
        <w:numPr>
          <w:ilvl w:val="0"/>
          <w:numId w:val="8"/>
        </w:numPr>
        <w:shd w:val="clear" w:color="auto" w:fill="FFFFFF"/>
        <w:spacing w:after="0" w:line="240" w:lineRule="auto"/>
        <w:ind w:left="927"/>
        <w:jc w:val="both"/>
        <w:textAlignment w:val="baseline"/>
        <w:rPr>
          <w:rFonts w:ascii="Arial" w:eastAsia="Times New Roman" w:hAnsi="Arial" w:cs="Arial"/>
          <w:color w:val="000000"/>
          <w:sz w:val="24"/>
          <w:szCs w:val="24"/>
          <w:lang w:eastAsia="ru-RU"/>
        </w:rPr>
      </w:pPr>
      <w:r w:rsidRPr="00177A5F">
        <w:rPr>
          <w:rFonts w:ascii="Times New Roman" w:eastAsia="Times New Roman" w:hAnsi="Times New Roman" w:cs="Times New Roman"/>
          <w:color w:val="000000"/>
          <w:sz w:val="24"/>
          <w:szCs w:val="24"/>
          <w:lang w:eastAsia="ru-RU"/>
        </w:rPr>
        <w:t>фізична особа має повноваження на призначення (обрання) одноособового виконавчого органу Товариства або на призначення (обрання) 50 і більше відсотків складу колегіального виконавчого органу або Наглядової ради Товариства;</w:t>
      </w:r>
    </w:p>
    <w:p w:rsidR="00177A5F" w:rsidRPr="00177A5F" w:rsidRDefault="00177A5F" w:rsidP="00177A5F">
      <w:pPr>
        <w:numPr>
          <w:ilvl w:val="0"/>
          <w:numId w:val="8"/>
        </w:numPr>
        <w:shd w:val="clear" w:color="auto" w:fill="FFFFFF"/>
        <w:spacing w:after="0" w:line="240" w:lineRule="auto"/>
        <w:ind w:left="927"/>
        <w:jc w:val="both"/>
        <w:textAlignment w:val="baseline"/>
        <w:rPr>
          <w:rFonts w:ascii="Arial" w:eastAsia="Times New Roman" w:hAnsi="Arial" w:cs="Arial"/>
          <w:color w:val="000000"/>
          <w:sz w:val="24"/>
          <w:szCs w:val="24"/>
          <w:lang w:eastAsia="ru-RU"/>
        </w:rPr>
      </w:pPr>
      <w:r w:rsidRPr="00177A5F">
        <w:rPr>
          <w:rFonts w:ascii="Times New Roman" w:eastAsia="Times New Roman" w:hAnsi="Times New Roman" w:cs="Times New Roman"/>
          <w:color w:val="000000"/>
          <w:sz w:val="24"/>
          <w:szCs w:val="24"/>
          <w:lang w:eastAsia="ru-RU"/>
        </w:rPr>
        <w:t>фізична особа є кінцевим бенефіціарним власником (контролером) Товариства;</w:t>
      </w:r>
    </w:p>
    <w:p w:rsidR="00177A5F" w:rsidRPr="00177A5F" w:rsidRDefault="00177A5F" w:rsidP="00177A5F">
      <w:pPr>
        <w:numPr>
          <w:ilvl w:val="0"/>
          <w:numId w:val="8"/>
        </w:numPr>
        <w:shd w:val="clear" w:color="auto" w:fill="FFFFFF"/>
        <w:spacing w:after="0" w:line="240" w:lineRule="auto"/>
        <w:ind w:left="927"/>
        <w:jc w:val="both"/>
        <w:textAlignment w:val="baseline"/>
        <w:rPr>
          <w:rFonts w:ascii="Arial" w:eastAsia="Times New Roman" w:hAnsi="Arial" w:cs="Arial"/>
          <w:color w:val="0D0D0D"/>
          <w:sz w:val="24"/>
          <w:szCs w:val="24"/>
          <w:lang w:eastAsia="ru-RU"/>
        </w:rPr>
      </w:pPr>
      <w:r w:rsidRPr="00177A5F">
        <w:rPr>
          <w:rFonts w:ascii="Times New Roman" w:eastAsia="Times New Roman" w:hAnsi="Times New Roman" w:cs="Times New Roman"/>
          <w:color w:val="000000"/>
          <w:sz w:val="24"/>
          <w:szCs w:val="24"/>
          <w:lang w:eastAsia="ru-RU"/>
        </w:rPr>
        <w:t>сума всіх кредитів (позик), поворотної фінансової допомоги від фізичної особи, наданих Товариству, та/або будь-яких кредитів (позик), поворотної фінансової допомоги від інших фізичних осіб, наданих Товариству, які надаються під гарантії цієї фізичної особи, перевищують суму власного капіталу більше ніж у 3,5 рази (для фінансових установ та компаній, що провадять виключно лізингову діяльність, - більше ніж у 10 разів). При цьому сума таких кредитів (позик), поворотної фінансової допомоги та власного капіталу визначається як середнє арифметичне значення (на початок та кінець звітного періоду).</w:t>
      </w:r>
    </w:p>
    <w:p w:rsidR="00177A5F" w:rsidRPr="00177A5F" w:rsidRDefault="00177A5F" w:rsidP="00177A5F">
      <w:pPr>
        <w:shd w:val="clear" w:color="auto" w:fill="FFFFFF"/>
        <w:spacing w:after="0" w:line="240" w:lineRule="auto"/>
        <w:ind w:left="851" w:hanging="425"/>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val="uk-UA" w:eastAsia="ru-RU"/>
        </w:rPr>
        <w:t xml:space="preserve">  </w:t>
      </w:r>
      <w:r w:rsidRPr="00177A5F">
        <w:rPr>
          <w:rFonts w:ascii="Times New Roman" w:eastAsia="Times New Roman" w:hAnsi="Times New Roman" w:cs="Times New Roman"/>
          <w:color w:val="000000"/>
          <w:sz w:val="24"/>
          <w:szCs w:val="24"/>
          <w:lang w:eastAsia="ru-RU"/>
        </w:rPr>
        <w:t xml:space="preserve">Діяльність </w:t>
      </w:r>
      <w:r w:rsidRPr="00177A5F">
        <w:rPr>
          <w:rFonts w:ascii="Times New Roman" w:eastAsia="Times New Roman" w:hAnsi="Times New Roman" w:cs="Times New Roman"/>
          <w:color w:val="000000"/>
          <w:sz w:val="24"/>
          <w:szCs w:val="24"/>
          <w:shd w:val="clear" w:color="auto" w:fill="FFFFFF"/>
          <w:lang w:eastAsia="ru-RU"/>
        </w:rPr>
        <w:t xml:space="preserve">Аудиторського комітету визначається діючим цим Положенням, Статутом Товариства, </w:t>
      </w:r>
      <w:r w:rsidRPr="00177A5F">
        <w:rPr>
          <w:rFonts w:ascii="Times New Roman" w:eastAsia="Times New Roman" w:hAnsi="Times New Roman" w:cs="Times New Roman"/>
          <w:color w:val="0D0D0D"/>
          <w:sz w:val="24"/>
          <w:szCs w:val="24"/>
          <w:shd w:val="clear" w:color="auto" w:fill="FFFFFF"/>
          <w:lang w:eastAsia="ru-RU"/>
        </w:rPr>
        <w:t xml:space="preserve">Закон України «Про аудит фінансової звітності та аудиторську діяльність» та іншим </w:t>
      </w:r>
      <w:r w:rsidRPr="00177A5F">
        <w:rPr>
          <w:rFonts w:ascii="Times New Roman" w:eastAsia="Times New Roman" w:hAnsi="Times New Roman" w:cs="Times New Roman"/>
          <w:color w:val="000000"/>
          <w:sz w:val="24"/>
          <w:szCs w:val="24"/>
          <w:shd w:val="clear" w:color="auto" w:fill="FFFFFF"/>
          <w:lang w:eastAsia="ru-RU"/>
        </w:rPr>
        <w:t>діючим законодавством, а також внутрішніми нормативно-правовим актами.</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sz w:val="24"/>
          <w:szCs w:val="24"/>
          <w:lang w:eastAsia="ru-RU"/>
        </w:rPr>
        <w:t> </w:t>
      </w:r>
    </w:p>
    <w:p w:rsidR="00177A5F" w:rsidRPr="00177A5F" w:rsidRDefault="00177A5F" w:rsidP="00177A5F">
      <w:pPr>
        <w:numPr>
          <w:ilvl w:val="0"/>
          <w:numId w:val="9"/>
        </w:num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177A5F">
        <w:rPr>
          <w:rFonts w:ascii="Times New Roman" w:eastAsia="Times New Roman" w:hAnsi="Times New Roman" w:cs="Times New Roman"/>
          <w:b/>
          <w:bCs/>
          <w:color w:val="000000"/>
          <w:sz w:val="24"/>
          <w:szCs w:val="24"/>
          <w:shd w:val="clear" w:color="auto" w:fill="FFFFFF"/>
          <w:lang w:eastAsia="ru-RU"/>
        </w:rPr>
        <w:t>ФУНКЦІЇ АУДИТОРСЬКОГО КОМІТЕТУ</w:t>
      </w:r>
    </w:p>
    <w:p w:rsidR="00177A5F" w:rsidRPr="00177A5F" w:rsidRDefault="00177A5F" w:rsidP="00177A5F">
      <w:pPr>
        <w:spacing w:after="0" w:line="240" w:lineRule="auto"/>
        <w:rPr>
          <w:rFonts w:ascii="Times New Roman" w:eastAsia="Times New Roman" w:hAnsi="Times New Roman" w:cs="Times New Roman"/>
          <w:sz w:val="24"/>
          <w:szCs w:val="24"/>
          <w:lang w:eastAsia="ru-RU"/>
        </w:rPr>
      </w:pP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2.1. Аудиторський комітет Товариства має забезпечити:</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 xml:space="preserve">1) розробку порядку проведення конкурсу </w:t>
      </w:r>
      <w:r w:rsidRPr="00177A5F">
        <w:rPr>
          <w:rFonts w:ascii="Times New Roman" w:eastAsia="Times New Roman" w:hAnsi="Times New Roman" w:cs="Times New Roman"/>
          <w:color w:val="000000"/>
          <w:sz w:val="24"/>
          <w:szCs w:val="24"/>
          <w:shd w:val="clear" w:color="auto" w:fill="FFFFFF"/>
          <w:lang w:eastAsia="ru-RU"/>
        </w:rPr>
        <w:t>з відбору суб’єктів аудиторської діяльності, які можуть бути призначені для надання послуг з обов’язкового аудиту фінансової звітності Товариства</w:t>
      </w:r>
      <w:r w:rsidRPr="00177A5F">
        <w:rPr>
          <w:rFonts w:ascii="Times New Roman" w:eastAsia="Times New Roman" w:hAnsi="Times New Roman" w:cs="Times New Roman"/>
          <w:color w:val="000000"/>
          <w:sz w:val="24"/>
          <w:szCs w:val="24"/>
          <w:lang w:eastAsia="ru-RU"/>
        </w:rPr>
        <w:t>;</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2) розробку критеріїв відбору суб'єктів аудиторської діяльності та підготовку тендерної документації;</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lastRenderedPageBreak/>
        <w:t xml:space="preserve">3) безкоштовне надання тендерної документації суб'єктам аудиторської діяльності, які виявили бажання взяти участь у конкурсі </w:t>
      </w:r>
      <w:r w:rsidRPr="00177A5F">
        <w:rPr>
          <w:rFonts w:ascii="Times New Roman" w:eastAsia="Times New Roman" w:hAnsi="Times New Roman" w:cs="Times New Roman"/>
          <w:color w:val="000000"/>
          <w:sz w:val="24"/>
          <w:szCs w:val="24"/>
          <w:shd w:val="clear" w:color="auto" w:fill="FFFFFF"/>
          <w:lang w:eastAsia="ru-RU"/>
        </w:rPr>
        <w:t>з відбору суб’єктів аудиторської діяльності, які можуть бути призначені для надання послуг з обов’язкового аудиту фінансової звітності Товариства</w:t>
      </w:r>
      <w:r w:rsidRPr="00177A5F">
        <w:rPr>
          <w:rFonts w:ascii="Times New Roman" w:eastAsia="Times New Roman" w:hAnsi="Times New Roman" w:cs="Times New Roman"/>
          <w:color w:val="000000"/>
          <w:sz w:val="24"/>
          <w:szCs w:val="24"/>
          <w:lang w:eastAsia="ru-RU"/>
        </w:rPr>
        <w:t>.</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4) інформування виконавчого органу, Наглядової ради про результати обов’язкового аудиту фінансової звітності;</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5) моніторинг процесу складання фінансової звітності та надання рекомендацій і пропозицій щодо забезпечення достовірності інформації;</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6) оцінку ефективності систем внутрішнього контролю (внутрішнього аудиту відповідно до міжнародних стандартів професійної практики внутрішнього аудиту) та управління ризиками Товариства;</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7) моніторинг виконання завдань з обов’язкового аудиту фінансової звітності;</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8) оцінку незалежності суб’єктів аудиторської діяльності, які надають послуги з обов’язкового аудиту;</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9) проведення прозорого конкурсу з відбору суб’єктів аудиторської діяльності та обґрунтування рекомендацій за його результатами;</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10) складення звіту про висновки процедури відбору суб'єктів аудиторської діяльності.</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2.2. Аудиторський комітет відповідає за проведення конкурсу з відбору суб’єктів аудиторської діяльності, які можуть бути призначені для надання послуг з обов’язкового аудиту фінансової звітності Товариства. </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2.3. Для проведення конкурсу Аудиторський комітет, має розробити і оприлюднити порядок його проведення і однозначні прозорі та недискримінаційні критерії відбору щонайменше двох суб’єктів аудиторської діяльності.</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2.4. Аудиторський комітет оцінює конкурсні пропозиції, подані суб’єктами аудиторської діяльності, за встановленими критеріями відбору та складає звіт про висновки процедури відбору. До уваги беруться результати контролю якості послуг, що надаються суб’єктами аудиторської діяльності, які беруть участь у конкурсі. За результатами конкурсу Аудиторський комітет представляє виконавчому органу Товариства обґрунтовані рекомендації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2.5. Виконавчий орган формує пропозиції для Наглядової ради Товариства, на підставі яких будуть розроблені проекти рішень для Загальних зборів, про призначення суб’єкта (суб’єктів) аудиторської діяльності для надання послуг з обов’язкового аудиту фінансової звітності, які мають включати рекомендації Аудиторського комітету,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або пропозицію щодо продовження виконання завдання з обов'язкового аудиту. Якщо пропозиції виконавчого органу не враховують рекомендації Аудиторського комітету, то має бути наведено обґрунтування відповідних пропозицій. </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2.6. Товариство призначає суб'єкта аудиторської діяльності для виконання першого завдання з аудиту фінансової звітності щонайменше на один рік.</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shd w:val="clear" w:color="auto" w:fill="FFFFFF"/>
          <w:lang w:eastAsia="ru-RU"/>
        </w:rPr>
        <w:t>2.7. Строк виконання завдання з обов'язкового аудиту може бути продовжено, але не більше ніж на строки, визначені законодавством. Пропозиція про схвалення рішення про продовження строку виконання завдання з обов'язкового аудиту фінансової звітності може бути подана Наглядовою радою Товариства на розгляд Загальних зборів виключно за обґрунтованою рекомендацією аудиторського комітету. </w:t>
      </w:r>
    </w:p>
    <w:p w:rsidR="00177A5F" w:rsidRPr="00177A5F" w:rsidRDefault="00177A5F" w:rsidP="00177A5F">
      <w:pPr>
        <w:spacing w:after="0" w:line="240" w:lineRule="auto"/>
        <w:rPr>
          <w:rFonts w:ascii="Times New Roman" w:eastAsia="Times New Roman" w:hAnsi="Times New Roman" w:cs="Times New Roman"/>
          <w:sz w:val="24"/>
          <w:szCs w:val="24"/>
          <w:lang w:eastAsia="ru-RU"/>
        </w:rPr>
      </w:pPr>
    </w:p>
    <w:p w:rsidR="00177A5F" w:rsidRPr="00177A5F" w:rsidRDefault="00177A5F" w:rsidP="00177A5F">
      <w:pPr>
        <w:numPr>
          <w:ilvl w:val="0"/>
          <w:numId w:val="10"/>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77A5F">
        <w:rPr>
          <w:rFonts w:ascii="Times New Roman" w:eastAsia="Times New Roman" w:hAnsi="Times New Roman" w:cs="Times New Roman"/>
          <w:b/>
          <w:bCs/>
          <w:color w:val="000000"/>
          <w:sz w:val="24"/>
          <w:szCs w:val="24"/>
          <w:lang w:eastAsia="ru-RU"/>
        </w:rPr>
        <w:t>ПОРЯДОК РОБОТИ АУДИТОРСЬКОГО КОМІТЕТУ</w:t>
      </w:r>
    </w:p>
    <w:p w:rsidR="00177A5F" w:rsidRPr="00177A5F" w:rsidRDefault="00177A5F" w:rsidP="00177A5F">
      <w:pPr>
        <w:spacing w:after="0" w:line="240" w:lineRule="auto"/>
        <w:rPr>
          <w:rFonts w:ascii="Times New Roman" w:eastAsia="Times New Roman" w:hAnsi="Times New Roman" w:cs="Times New Roman"/>
          <w:sz w:val="24"/>
          <w:szCs w:val="24"/>
          <w:lang w:eastAsia="ru-RU"/>
        </w:rPr>
      </w:pP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3.1. Рішення Аудиторського комітету приймаються шляхом проведення засідань. </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lastRenderedPageBreak/>
        <w:t xml:space="preserve">Засідання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проводяться у міру необхідності. Засідання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скликаються його Головою за особистою ініціативою, на вимогу члена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 xml:space="preserve">3.2. Члени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зобов'язані брати участь у засіданні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особисто. Засідання веде Голова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 xml:space="preserve">3.3. Засідання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вважається правомочним, якщо в ньому беруть більше половини членів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Кожний член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при голосуванні має один голос. Рішення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приймаються простою більшістю голосів членів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присутніх на засіданні.</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 xml:space="preserve">3.4. Ведення протоколу засідання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є обов’язковим. Протокол засідання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підписується всіма членами </w:t>
      </w:r>
      <w:r w:rsidRPr="00177A5F">
        <w:rPr>
          <w:rFonts w:ascii="Times New Roman" w:eastAsia="Times New Roman" w:hAnsi="Times New Roman" w:cs="Times New Roman"/>
          <w:color w:val="000000"/>
          <w:sz w:val="24"/>
          <w:szCs w:val="24"/>
          <w:lang w:eastAsia="ru-RU"/>
        </w:rPr>
        <w:t>комітету, які приймали участь у засіданні.</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 xml:space="preserve">3.5. Все листування по справах та від імені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здійснюється за підписом Голови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w:t>
      </w:r>
    </w:p>
    <w:p w:rsidR="00177A5F" w:rsidRPr="00177A5F" w:rsidRDefault="00177A5F" w:rsidP="00177A5F">
      <w:pPr>
        <w:spacing w:after="0" w:line="240" w:lineRule="auto"/>
        <w:rPr>
          <w:rFonts w:ascii="Times New Roman" w:eastAsia="Times New Roman" w:hAnsi="Times New Roman" w:cs="Times New Roman"/>
          <w:sz w:val="24"/>
          <w:szCs w:val="24"/>
          <w:lang w:eastAsia="ru-RU"/>
        </w:rPr>
      </w:pPr>
    </w:p>
    <w:p w:rsidR="00177A5F" w:rsidRPr="00177A5F" w:rsidRDefault="00177A5F" w:rsidP="00177A5F">
      <w:pPr>
        <w:numPr>
          <w:ilvl w:val="0"/>
          <w:numId w:val="1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77A5F">
        <w:rPr>
          <w:rFonts w:ascii="Times New Roman" w:eastAsia="Times New Roman" w:hAnsi="Times New Roman" w:cs="Times New Roman"/>
          <w:b/>
          <w:bCs/>
          <w:color w:val="000000"/>
          <w:sz w:val="24"/>
          <w:szCs w:val="24"/>
          <w:lang w:eastAsia="ru-RU"/>
        </w:rPr>
        <w:t>ПРИКІНЦЕВІ ПОЛОЖЕННЯ</w:t>
      </w:r>
    </w:p>
    <w:p w:rsidR="00177A5F" w:rsidRPr="00177A5F" w:rsidRDefault="00177A5F" w:rsidP="00177A5F">
      <w:pPr>
        <w:spacing w:after="0" w:line="240" w:lineRule="auto"/>
        <w:rPr>
          <w:rFonts w:ascii="Times New Roman" w:eastAsia="Times New Roman" w:hAnsi="Times New Roman" w:cs="Times New Roman"/>
          <w:sz w:val="24"/>
          <w:szCs w:val="24"/>
          <w:lang w:eastAsia="ru-RU"/>
        </w:rPr>
      </w:pP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 xml:space="preserve">4.1. Члени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несуть персональну відповідальність за виконання своїх функцій. </w:t>
      </w:r>
    </w:p>
    <w:p w:rsidR="00177A5F" w:rsidRPr="00177A5F" w:rsidRDefault="00177A5F" w:rsidP="00177A5F">
      <w:pPr>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D0D0D"/>
          <w:sz w:val="24"/>
          <w:szCs w:val="24"/>
          <w:lang w:eastAsia="ru-RU"/>
        </w:rPr>
        <w:t xml:space="preserve">4.2. Члени </w:t>
      </w:r>
      <w:r w:rsidRPr="00177A5F">
        <w:rPr>
          <w:rFonts w:ascii="Times New Roman" w:eastAsia="Times New Roman" w:hAnsi="Times New Roman" w:cs="Times New Roman"/>
          <w:color w:val="000000"/>
          <w:sz w:val="24"/>
          <w:szCs w:val="24"/>
          <w:lang w:eastAsia="ru-RU"/>
        </w:rPr>
        <w:t>Аудиторського комітету</w:t>
      </w:r>
      <w:r w:rsidRPr="00177A5F">
        <w:rPr>
          <w:rFonts w:ascii="Times New Roman" w:eastAsia="Times New Roman" w:hAnsi="Times New Roman" w:cs="Times New Roman"/>
          <w:color w:val="0D0D0D"/>
          <w:sz w:val="24"/>
          <w:szCs w:val="24"/>
          <w:lang w:eastAsia="ru-RU"/>
        </w:rPr>
        <w:t xml:space="preserve"> у разі невиконання або неналежного виконання ними своїх обов'язків несуть дисциплінарну, адміністративну та іншу відповідальність згідно з чинним законодавством України. </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4.3. Затвердження та внесення змін до цього Положення належить до виключної компетенції Наглядової ради Товариства. </w:t>
      </w:r>
    </w:p>
    <w:p w:rsidR="00177A5F" w:rsidRPr="00177A5F" w:rsidRDefault="00177A5F" w:rsidP="00177A5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77A5F">
        <w:rPr>
          <w:rFonts w:ascii="Times New Roman" w:eastAsia="Times New Roman" w:hAnsi="Times New Roman" w:cs="Times New Roman"/>
          <w:color w:val="000000"/>
          <w:sz w:val="24"/>
          <w:szCs w:val="24"/>
          <w:lang w:eastAsia="ru-RU"/>
        </w:rPr>
        <w:t>4.4. Інші питання що не врегульовані цим Положенням регулюються Законом України «</w:t>
      </w:r>
      <w:r w:rsidRPr="00177A5F">
        <w:rPr>
          <w:rFonts w:ascii="Times New Roman" w:eastAsia="Times New Roman" w:hAnsi="Times New Roman" w:cs="Times New Roman"/>
          <w:color w:val="000000"/>
          <w:sz w:val="24"/>
          <w:szCs w:val="24"/>
          <w:shd w:val="clear" w:color="auto" w:fill="FFFFFF"/>
          <w:lang w:eastAsia="ru-RU"/>
        </w:rPr>
        <w:t>Про аудит фінансової звітності та аудиторську діяльність» та іншими нормами діючого законодавства.</w:t>
      </w:r>
      <w:r w:rsidRPr="00177A5F">
        <w:rPr>
          <w:rFonts w:ascii="Times New Roman" w:eastAsia="Times New Roman" w:hAnsi="Times New Roman" w:cs="Times New Roman"/>
          <w:color w:val="000000"/>
          <w:sz w:val="24"/>
          <w:szCs w:val="24"/>
          <w:lang w:eastAsia="ru-RU"/>
        </w:rPr>
        <w:t> </w:t>
      </w:r>
    </w:p>
    <w:sectPr w:rsidR="00177A5F" w:rsidRPr="00177A5F" w:rsidSect="00601B27">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79E"/>
    <w:multiLevelType w:val="multilevel"/>
    <w:tmpl w:val="EFE48E6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063A1"/>
    <w:multiLevelType w:val="multilevel"/>
    <w:tmpl w:val="F69AF50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5552E8C"/>
    <w:multiLevelType w:val="multilevel"/>
    <w:tmpl w:val="E820A5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B7122"/>
    <w:multiLevelType w:val="multilevel"/>
    <w:tmpl w:val="0648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F4CE0"/>
    <w:multiLevelType w:val="multilevel"/>
    <w:tmpl w:val="FBCEBB1A"/>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5E4BBF"/>
    <w:multiLevelType w:val="multilevel"/>
    <w:tmpl w:val="463E2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C305B1"/>
    <w:multiLevelType w:val="multilevel"/>
    <w:tmpl w:val="2C14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D4FC8"/>
    <w:multiLevelType w:val="multilevel"/>
    <w:tmpl w:val="01E04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DA6663"/>
    <w:multiLevelType w:val="hybridMultilevel"/>
    <w:tmpl w:val="34C49830"/>
    <w:lvl w:ilvl="0" w:tplc="CE36A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7932E5D"/>
    <w:multiLevelType w:val="multilevel"/>
    <w:tmpl w:val="AA608F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D41F8"/>
    <w:multiLevelType w:val="multilevel"/>
    <w:tmpl w:val="FDC4D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lvlOverride w:ilvl="0">
      <w:lvl w:ilvl="0">
        <w:numFmt w:val="decimal"/>
        <w:lvlText w:val=""/>
        <w:lvlJc w:val="left"/>
      </w:lvl>
    </w:lvlOverride>
    <w:lvlOverride w:ilvl="1">
      <w:lvl w:ilvl="1">
        <w:numFmt w:val="decimal"/>
        <w:lvlText w:val="%2."/>
        <w:lvlJc w:val="left"/>
      </w:lvl>
    </w:lvlOverride>
  </w:num>
  <w:num w:numId="4">
    <w:abstractNumId w:val="3"/>
  </w:num>
  <w:num w:numId="5">
    <w:abstractNumId w:val="5"/>
  </w:num>
  <w:num w:numId="6">
    <w:abstractNumId w:val="9"/>
  </w:num>
  <w:num w:numId="7">
    <w:abstractNumId w:val="4"/>
    <w:lvlOverride w:ilvl="0">
      <w:lvl w:ilvl="0">
        <w:numFmt w:val="decimal"/>
        <w:lvlText w:val=""/>
        <w:lvlJc w:val="left"/>
      </w:lvl>
    </w:lvlOverride>
    <w:lvlOverride w:ilvl="1">
      <w:lvl w:ilvl="1">
        <w:numFmt w:val="decimal"/>
        <w:lvlText w:val="%2."/>
        <w:lvlJc w:val="left"/>
      </w:lvl>
    </w:lvlOverride>
  </w:num>
  <w:num w:numId="8">
    <w:abstractNumId w:val="6"/>
  </w:num>
  <w:num w:numId="9">
    <w:abstractNumId w:val="2"/>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compat/>
  <w:rsids>
    <w:rsidRoot w:val="00EF71A0"/>
    <w:rsid w:val="00002764"/>
    <w:rsid w:val="00044546"/>
    <w:rsid w:val="000E510E"/>
    <w:rsid w:val="0012118D"/>
    <w:rsid w:val="00175A8B"/>
    <w:rsid w:val="00177A5F"/>
    <w:rsid w:val="00185C2B"/>
    <w:rsid w:val="0025208F"/>
    <w:rsid w:val="00260233"/>
    <w:rsid w:val="00267E39"/>
    <w:rsid w:val="00320F30"/>
    <w:rsid w:val="00323816"/>
    <w:rsid w:val="0046686E"/>
    <w:rsid w:val="004F0337"/>
    <w:rsid w:val="005124D5"/>
    <w:rsid w:val="00560231"/>
    <w:rsid w:val="005A7E7B"/>
    <w:rsid w:val="005B0A80"/>
    <w:rsid w:val="005C2295"/>
    <w:rsid w:val="005D634B"/>
    <w:rsid w:val="00601B27"/>
    <w:rsid w:val="006065DD"/>
    <w:rsid w:val="00617697"/>
    <w:rsid w:val="00686104"/>
    <w:rsid w:val="006C5D5F"/>
    <w:rsid w:val="006E4821"/>
    <w:rsid w:val="007149DE"/>
    <w:rsid w:val="00763D7D"/>
    <w:rsid w:val="0087737F"/>
    <w:rsid w:val="009049C2"/>
    <w:rsid w:val="009B29BA"/>
    <w:rsid w:val="009F7320"/>
    <w:rsid w:val="00AA1444"/>
    <w:rsid w:val="00AA59B4"/>
    <w:rsid w:val="00AA7176"/>
    <w:rsid w:val="00B31043"/>
    <w:rsid w:val="00B64AB5"/>
    <w:rsid w:val="00BE2DAB"/>
    <w:rsid w:val="00C45806"/>
    <w:rsid w:val="00C66324"/>
    <w:rsid w:val="00CA1E67"/>
    <w:rsid w:val="00D33876"/>
    <w:rsid w:val="00D6202F"/>
    <w:rsid w:val="00DA5DB6"/>
    <w:rsid w:val="00DC1D63"/>
    <w:rsid w:val="00E03F67"/>
    <w:rsid w:val="00E819A8"/>
    <w:rsid w:val="00EB36BE"/>
    <w:rsid w:val="00EC6004"/>
    <w:rsid w:val="00EE7C95"/>
    <w:rsid w:val="00EF71A0"/>
    <w:rsid w:val="00F27AC2"/>
    <w:rsid w:val="00F449AA"/>
    <w:rsid w:val="00F96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76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B36BE"/>
    <w:pPr>
      <w:ind w:left="720"/>
      <w:contextualSpacing/>
    </w:pPr>
  </w:style>
  <w:style w:type="paragraph" w:styleId="a4">
    <w:name w:val="Normal (Web)"/>
    <w:basedOn w:val="a"/>
    <w:uiPriority w:val="99"/>
    <w:unhideWhenUsed/>
    <w:rsid w:val="00AA5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77A5F"/>
  </w:style>
</w:styles>
</file>

<file path=word/webSettings.xml><?xml version="1.0" encoding="utf-8"?>
<w:webSettings xmlns:r="http://schemas.openxmlformats.org/officeDocument/2006/relationships" xmlns:w="http://schemas.openxmlformats.org/wordprocessingml/2006/main">
  <w:divs>
    <w:div w:id="107898624">
      <w:bodyDiv w:val="1"/>
      <w:marLeft w:val="0"/>
      <w:marRight w:val="0"/>
      <w:marTop w:val="0"/>
      <w:marBottom w:val="0"/>
      <w:divBdr>
        <w:top w:val="none" w:sz="0" w:space="0" w:color="auto"/>
        <w:left w:val="none" w:sz="0" w:space="0" w:color="auto"/>
        <w:bottom w:val="none" w:sz="0" w:space="0" w:color="auto"/>
        <w:right w:val="none" w:sz="0" w:space="0" w:color="auto"/>
      </w:divBdr>
    </w:div>
    <w:div w:id="108933672">
      <w:bodyDiv w:val="1"/>
      <w:marLeft w:val="0"/>
      <w:marRight w:val="0"/>
      <w:marTop w:val="0"/>
      <w:marBottom w:val="0"/>
      <w:divBdr>
        <w:top w:val="none" w:sz="0" w:space="0" w:color="auto"/>
        <w:left w:val="none" w:sz="0" w:space="0" w:color="auto"/>
        <w:bottom w:val="none" w:sz="0" w:space="0" w:color="auto"/>
        <w:right w:val="none" w:sz="0" w:space="0" w:color="auto"/>
      </w:divBdr>
    </w:div>
    <w:div w:id="890847627">
      <w:bodyDiv w:val="1"/>
      <w:marLeft w:val="0"/>
      <w:marRight w:val="0"/>
      <w:marTop w:val="0"/>
      <w:marBottom w:val="0"/>
      <w:divBdr>
        <w:top w:val="none" w:sz="0" w:space="0" w:color="auto"/>
        <w:left w:val="none" w:sz="0" w:space="0" w:color="auto"/>
        <w:bottom w:val="none" w:sz="0" w:space="0" w:color="auto"/>
        <w:right w:val="none" w:sz="0" w:space="0" w:color="auto"/>
      </w:divBdr>
    </w:div>
    <w:div w:id="1138498003">
      <w:bodyDiv w:val="1"/>
      <w:marLeft w:val="0"/>
      <w:marRight w:val="0"/>
      <w:marTop w:val="0"/>
      <w:marBottom w:val="0"/>
      <w:divBdr>
        <w:top w:val="none" w:sz="0" w:space="0" w:color="auto"/>
        <w:left w:val="none" w:sz="0" w:space="0" w:color="auto"/>
        <w:bottom w:val="none" w:sz="0" w:space="0" w:color="auto"/>
        <w:right w:val="none" w:sz="0" w:space="0" w:color="auto"/>
      </w:divBdr>
    </w:div>
    <w:div w:id="193936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BD64-20D4-488B-B798-2F6CB26D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svi</cp:lastModifiedBy>
  <cp:revision>17</cp:revision>
  <dcterms:created xsi:type="dcterms:W3CDTF">2019-01-30T09:31:00Z</dcterms:created>
  <dcterms:modified xsi:type="dcterms:W3CDTF">2019-08-08T06:07:00Z</dcterms:modified>
</cp:coreProperties>
</file>